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Uppvidinge kommunfullmäktige</w:t>
      </w:r>
    </w:p>
    <w:p>
      <w:pPr>
        <w:pStyle w:val="Heading1"/>
      </w:pPr>
      <w:r>
        <w:t xml:space="preserve">Ökat stöd till elever i behov av särskilt 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Uppvidinge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Skolverkets statistik visar att Uppvidinge har lägre meritvärden än riksgenomsnittet. Fler speciallärare och tidiga insatser behövs för likvärdig skola.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Uppvidinge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öka antalet speciallärare med minst tre tjänster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tidiga screening-insatser införs i årskurs 1–3.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elevhälsan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följs upp i kvalitetsrapporten 2028.</w:t>
      </w:r>
    </w:p>
    <w:p>
      <w:pPr>
        <w:spacing w:before="360"/>
      </w:pPr>
    </w:p>
    <w:p>
      <w:r>
        <w:t xml:space="preserve">Uppvidinge,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Uppvidinge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2026-07-14T01:43:38.426Z</dcterms:created>
  <dcterms:modified xsi:type="dcterms:W3CDTF">2026-07-14T01:43:38.426Z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